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
        <w:tblW w:w="10041" w:type="dxa"/>
        <w:tblLook w:val="01E0" w:firstRow="1" w:lastRow="1" w:firstColumn="1" w:lastColumn="1" w:noHBand="0" w:noVBand="0"/>
      </w:tblPr>
      <w:tblGrid>
        <w:gridCol w:w="3347"/>
        <w:gridCol w:w="6694"/>
      </w:tblGrid>
      <w:tr w:rsidR="004265C6" w:rsidRPr="004265C6" w:rsidTr="004265C6">
        <w:trPr>
          <w:trHeight w:val="931"/>
        </w:trPr>
        <w:tc>
          <w:tcPr>
            <w:tcW w:w="3347" w:type="dxa"/>
          </w:tcPr>
          <w:p w:rsidR="004265C6" w:rsidRPr="004265C6" w:rsidRDefault="004265C6" w:rsidP="004265C6">
            <w:pPr>
              <w:spacing w:after="0" w:line="240" w:lineRule="auto"/>
              <w:jc w:val="center"/>
              <w:rPr>
                <w:rFonts w:ascii="Times New Roman" w:eastAsia="Times New Roman" w:hAnsi="Times New Roman" w:cs="Times New Roman"/>
                <w:b/>
                <w:bCs/>
                <w:sz w:val="28"/>
                <w:szCs w:val="28"/>
              </w:rPr>
            </w:pPr>
            <w:r w:rsidRPr="004265C6">
              <w:rPr>
                <w:rFonts w:ascii="Times New Roman" w:eastAsia="Times New Roman" w:hAnsi="Times New Roman" w:cs="Times New Roman"/>
                <w:b/>
                <w:bCs/>
                <w:sz w:val="28"/>
                <w:szCs w:val="28"/>
              </w:rPr>
              <w:t>UỶ BAN NHÂN DÂN</w:t>
            </w:r>
          </w:p>
          <w:p w:rsidR="004265C6" w:rsidRPr="004265C6" w:rsidRDefault="004265C6" w:rsidP="004265C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F7FD1B8" wp14:editId="659D843D">
                      <wp:simplePos x="0" y="0"/>
                      <wp:positionH relativeFrom="column">
                        <wp:posOffset>425450</wp:posOffset>
                      </wp:positionH>
                      <wp:positionV relativeFrom="paragraph">
                        <wp:posOffset>227330</wp:posOffset>
                      </wp:positionV>
                      <wp:extent cx="850900" cy="0"/>
                      <wp:effectExtent l="11430" t="11430" r="1397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7.9pt" to="10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ni5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"/>
                  </w:pict>
                </mc:Fallback>
              </mc:AlternateContent>
            </w:r>
            <w:r w:rsidRPr="004265C6">
              <w:rPr>
                <w:rFonts w:ascii="Times New Roman" w:eastAsia="Times New Roman" w:hAnsi="Times New Roman" w:cs="Times New Roman"/>
                <w:b/>
                <w:bCs/>
                <w:sz w:val="28"/>
                <w:szCs w:val="28"/>
              </w:rPr>
              <w:t>XÃ LIÊN MINH</w:t>
            </w:r>
          </w:p>
          <w:p w:rsidR="004265C6" w:rsidRPr="004265C6" w:rsidRDefault="004265C6" w:rsidP="004265C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tc>
        <w:tc>
          <w:tcPr>
            <w:tcW w:w="6694" w:type="dxa"/>
          </w:tcPr>
          <w:p w:rsidR="004265C6" w:rsidRPr="004265C6" w:rsidRDefault="004265C6" w:rsidP="004265C6">
            <w:pPr>
              <w:spacing w:after="0" w:line="240" w:lineRule="auto"/>
              <w:jc w:val="center"/>
              <w:rPr>
                <w:rFonts w:ascii="Times New Roman" w:eastAsia="Times New Roman" w:hAnsi="Times New Roman" w:cs="Times New Roman"/>
                <w:b/>
                <w:bCs/>
                <w:sz w:val="28"/>
                <w:szCs w:val="28"/>
              </w:rPr>
            </w:pPr>
            <w:r w:rsidRPr="004265C6">
              <w:rPr>
                <w:rFonts w:ascii="Times New Roman" w:eastAsia="Times New Roman" w:hAnsi="Times New Roman" w:cs="Times New Roman"/>
                <w:b/>
                <w:bCs/>
                <w:sz w:val="28"/>
                <w:szCs w:val="28"/>
              </w:rPr>
              <w:t>CỘNG HOÀ XÃ HỘI CHỦ NGHĨA VIỆT NAM</w:t>
            </w:r>
          </w:p>
          <w:p w:rsidR="004265C6" w:rsidRPr="004265C6" w:rsidRDefault="004265C6" w:rsidP="004265C6">
            <w:pPr>
              <w:spacing w:after="0" w:line="240" w:lineRule="auto"/>
              <w:jc w:val="center"/>
              <w:rPr>
                <w:rFonts w:ascii="Times New Roman" w:eastAsia="Times New Roman" w:hAnsi="Times New Roman" w:cs="Times New Roman"/>
                <w:b/>
                <w:bCs/>
                <w:sz w:val="28"/>
                <w:szCs w:val="28"/>
              </w:rPr>
            </w:pPr>
            <w:r w:rsidRPr="004265C6">
              <w:rPr>
                <w:rFonts w:ascii="Times New Roman" w:eastAsia="Times New Roman" w:hAnsi="Times New Roman" w:cs="Times New Roman"/>
                <w:b/>
                <w:bCs/>
                <w:sz w:val="28"/>
                <w:szCs w:val="28"/>
              </w:rPr>
              <w:t>Độc lập - Tự do - Hạnh phúc</w:t>
            </w:r>
          </w:p>
          <w:p w:rsidR="004265C6" w:rsidRPr="004265C6" w:rsidRDefault="004265C6" w:rsidP="004265C6">
            <w:pPr>
              <w:spacing w:after="0" w:line="240" w:lineRule="auto"/>
              <w:jc w:val="center"/>
              <w:rPr>
                <w:rFonts w:ascii="Times New Roman" w:eastAsia="Times New Roman" w:hAnsi="Times New Roman" w:cs="Times New Roman"/>
                <w:i/>
                <w:i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66E716DD" wp14:editId="4A64FC0B">
                      <wp:simplePos x="0" y="0"/>
                      <wp:positionH relativeFrom="column">
                        <wp:posOffset>1087755</wp:posOffset>
                      </wp:positionH>
                      <wp:positionV relativeFrom="paragraph">
                        <wp:posOffset>26670</wp:posOffset>
                      </wp:positionV>
                      <wp:extent cx="2042160" cy="0"/>
                      <wp:effectExtent l="6985" t="5715" r="82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2.1pt" to="24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8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RZ5N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"/>
                  </w:pict>
                </mc:Fallback>
              </mc:AlternateContent>
            </w:r>
          </w:p>
          <w:p w:rsidR="004265C6" w:rsidRPr="004265C6" w:rsidRDefault="004265C6" w:rsidP="004265C6">
            <w:pPr>
              <w:spacing w:after="0" w:line="240" w:lineRule="auto"/>
              <w:jc w:val="center"/>
              <w:rPr>
                <w:rFonts w:ascii="Times New Roman" w:eastAsia="Times New Roman" w:hAnsi="Times New Roman" w:cs="Times New Roman"/>
                <w:i/>
                <w:iCs/>
                <w:sz w:val="28"/>
                <w:szCs w:val="28"/>
              </w:rPr>
            </w:pPr>
          </w:p>
        </w:tc>
      </w:tr>
    </w:tbl>
    <w:p w:rsidR="004265C6" w:rsidRDefault="004265C6" w:rsidP="004265C6">
      <w:pPr>
        <w:shd w:val="clear" w:color="auto" w:fill="FFFFFF"/>
        <w:spacing w:after="150" w:line="240" w:lineRule="auto"/>
        <w:jc w:val="center"/>
        <w:textAlignment w:val="baseline"/>
        <w:outlineLvl w:val="4"/>
        <w:rPr>
          <w:rFonts w:ascii="Times New Roman" w:eastAsia="Times New Roman" w:hAnsi="Times New Roman" w:cs="Times New Roman"/>
          <w:b/>
          <w:caps/>
          <w:sz w:val="28"/>
          <w:szCs w:val="28"/>
        </w:rPr>
      </w:pPr>
      <w:proofErr w:type="gramStart"/>
      <w:r>
        <w:rPr>
          <w:rFonts w:ascii="Times New Roman" w:eastAsia="Times New Roman" w:hAnsi="Times New Roman" w:cs="Times New Roman"/>
          <w:b/>
          <w:caps/>
          <w:sz w:val="28"/>
          <w:szCs w:val="28"/>
        </w:rPr>
        <w:t>Bài  Tuyên</w:t>
      </w:r>
      <w:proofErr w:type="gramEnd"/>
      <w:r>
        <w:rPr>
          <w:rFonts w:ascii="Times New Roman" w:eastAsia="Times New Roman" w:hAnsi="Times New Roman" w:cs="Times New Roman"/>
          <w:b/>
          <w:caps/>
          <w:sz w:val="28"/>
          <w:szCs w:val="28"/>
        </w:rPr>
        <w:t xml:space="preserve"> truyền</w:t>
      </w:r>
    </w:p>
    <w:p w:rsidR="006D6551" w:rsidRPr="006D6551" w:rsidRDefault="006D6551" w:rsidP="006D6551">
      <w:pPr>
        <w:shd w:val="clear" w:color="auto" w:fill="FFFFFF"/>
        <w:spacing w:after="150" w:line="240" w:lineRule="auto"/>
        <w:jc w:val="center"/>
        <w:textAlignment w:val="baseline"/>
        <w:outlineLvl w:val="4"/>
        <w:rPr>
          <w:rFonts w:ascii="Times New Roman" w:eastAsia="Times New Roman" w:hAnsi="Times New Roman" w:cs="Times New Roman"/>
          <w:b/>
          <w:caps/>
          <w:sz w:val="28"/>
          <w:szCs w:val="28"/>
        </w:rPr>
      </w:pPr>
      <w:r w:rsidRPr="006D6551">
        <w:rPr>
          <w:rFonts w:ascii="Times New Roman" w:eastAsia="Times New Roman" w:hAnsi="Times New Roman" w:cs="Times New Roman"/>
          <w:b/>
          <w:caps/>
          <w:sz w:val="28"/>
          <w:szCs w:val="28"/>
        </w:rPr>
        <w:t>12 CHÍNH SÁCH HỖ TRỢ NGƯỜI LAO ĐỘNG VÀ NGƯỜI SỬ DỤNG LAO ĐỘNG GẶP KHÓ KHĂN DO ĐẠI DỊCH COVID-19</w:t>
      </w:r>
    </w:p>
    <w:p w:rsidR="006D6551" w:rsidRPr="00BB62CA" w:rsidRDefault="006D6551" w:rsidP="006D6551">
      <w:pPr>
        <w:pStyle w:val="sum-debs"/>
        <w:shd w:val="clear" w:color="auto" w:fill="FFFFFF"/>
        <w:spacing w:before="0" w:beforeAutospacing="0" w:after="150" w:afterAutospacing="0"/>
        <w:ind w:firstLine="720"/>
        <w:jc w:val="both"/>
        <w:textAlignment w:val="baseline"/>
        <w:rPr>
          <w:b/>
          <w:bCs/>
          <w:sz w:val="28"/>
          <w:szCs w:val="28"/>
        </w:rPr>
      </w:pPr>
      <w:r w:rsidRPr="00BB62CA">
        <w:rPr>
          <w:b/>
          <w:bCs/>
          <w:sz w:val="28"/>
          <w:szCs w:val="28"/>
        </w:rPr>
        <w:t xml:space="preserve">Ngày 01/7/2021, Chính phủ ban hành Nghị quyết số 68/NQ-CP về một số chính sách hỗ trợ người </w:t>
      </w:r>
      <w:proofErr w:type="gramStart"/>
      <w:r w:rsidRPr="00BB62CA">
        <w:rPr>
          <w:b/>
          <w:bCs/>
          <w:sz w:val="28"/>
          <w:szCs w:val="28"/>
        </w:rPr>
        <w:t>lao</w:t>
      </w:r>
      <w:proofErr w:type="gramEnd"/>
      <w:r w:rsidRPr="00BB62CA">
        <w:rPr>
          <w:b/>
          <w:bCs/>
          <w:sz w:val="28"/>
          <w:szCs w:val="28"/>
        </w:rPr>
        <w:t xml:space="preserve"> động và người sử dụng lao động gặp khó khăn do đại dịch Covid-19.</w:t>
      </w:r>
    </w:p>
    <w:p w:rsidR="006D6551" w:rsidRPr="00BB62CA" w:rsidRDefault="006D6551" w:rsidP="006D6551">
      <w:pPr>
        <w:pStyle w:val="sum-debs"/>
        <w:shd w:val="clear" w:color="auto" w:fill="FFFFFF"/>
        <w:spacing w:before="0" w:beforeAutospacing="0" w:after="150" w:afterAutospacing="0"/>
        <w:ind w:firstLine="720"/>
        <w:jc w:val="both"/>
        <w:textAlignment w:val="baseline"/>
        <w:rPr>
          <w:b/>
          <w:bCs/>
          <w:sz w:val="28"/>
          <w:szCs w:val="28"/>
        </w:rPr>
      </w:pPr>
      <w:r w:rsidRPr="00BB62CA">
        <w:rPr>
          <w:sz w:val="28"/>
          <w:szCs w:val="28"/>
          <w:bdr w:val="none" w:sz="0" w:space="0" w:color="auto" w:frame="1"/>
        </w:rPr>
        <w:t>Theo đó, 12 chính sách đã được Chính phủ phê duyệt trong Nghị quyết, tập trung hỗ trợ người sử dụng lao động và người lao động bị ảnh hưởng do đại dịch Covid-19. Nghị quyết số 68/NQ-CP được thực hiện trên nguyên tắc: đảm bảo hỗ trợ kịp thời, đúng đối tượng, minh bạch, không để lợi dụng, trục lợi chính sách; xây dựng các tiêu chí, điều kiện thuận lợi và dễ dàng tiếp cận, đảm bảo tính khả thi, hiệu quả; phát huy tính chủ động của các cấp, các ngành, địa phương.</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sz w:val="28"/>
          <w:szCs w:val="28"/>
          <w:bdr w:val="none" w:sz="0" w:space="0" w:color="auto" w:frame="1"/>
        </w:rPr>
        <w:t>Dưới đây là các quy định cụ thể về hình thức và mức hỗ trợ được nêu trong Nghị quyết:</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-Thứ nhất. Chính sách giảm mức đóng bảo hiểm tai nạn lao động, bệnh nghề nghiệp:</w:t>
      </w:r>
      <w:r w:rsidRPr="00BB62CA">
        <w:rPr>
          <w:sz w:val="28"/>
          <w:szCs w:val="28"/>
          <w:bdr w:val="none" w:sz="0" w:space="0" w:color="auto" w:frame="1"/>
        </w:rPr>
        <w:t> Người sử dụng lao động được áp dụng mức đóng bằng 0% quỹ tiền lương</w:t>
      </w:r>
      <w:r w:rsidRPr="00BB62CA">
        <w:rPr>
          <w:sz w:val="28"/>
          <w:szCs w:val="28"/>
          <w:bdr w:val="none" w:sz="0" w:space="0" w:color="auto" w:frame="1"/>
          <w:shd w:val="clear" w:color="auto" w:fill="FFFFFF"/>
        </w:rPr>
        <w:t> làm căn cứ đóng bảo hiểm xã hội</w:t>
      </w:r>
      <w:r w:rsidRPr="00BB62CA">
        <w:rPr>
          <w:sz w:val="28"/>
          <w:szCs w:val="28"/>
          <w:bdr w:val="none" w:sz="0" w:space="0" w:color="auto" w:frame="1"/>
        </w:rPr>
        <w:t> vào Quỹ bảo hiểm tai nạn lao động, bệnh nghề nghiệp trong 12 tháng (</w:t>
      </w:r>
      <w:r w:rsidRPr="00BB62CA">
        <w:rPr>
          <w:sz w:val="28"/>
          <w:szCs w:val="28"/>
          <w:bdr w:val="none" w:sz="0" w:space="0" w:color="auto" w:frame="1"/>
          <w:shd w:val="clear" w:color="auto" w:fill="FFFFFF"/>
        </w:rPr>
        <w:t>thời gian từ ngày 01 tháng 7 năm 2021 đến hết ngày 30 tháng 6 năm 2022) cho người lao động </w:t>
      </w:r>
      <w:r w:rsidRPr="00BB62CA">
        <w:rPr>
          <w:sz w:val="28"/>
          <w:szCs w:val="28"/>
          <w:bdr w:val="none" w:sz="0" w:space="0" w:color="auto" w:frame="1"/>
        </w:rPr>
        <w:t>thuộc đối tượng áp dụng chế độ bảo hiểm tai nạn lao động, bệnh nghề nghiệp</w:t>
      </w:r>
      <w:r w:rsidRPr="00BB62CA">
        <w:rPr>
          <w:sz w:val="28"/>
          <w:szCs w:val="28"/>
          <w:bdr w:val="none" w:sz="0" w:space="0" w:color="auto" w:frame="1"/>
          <w:shd w:val="clear" w:color="auto" w:fill="FFFFFF"/>
        </w:rPr>
        <w:t> </w:t>
      </w:r>
      <w:r w:rsidRPr="00BB62CA">
        <w:rPr>
          <w:sz w:val="28"/>
          <w:szCs w:val="28"/>
          <w:bdr w:val="none" w:sz="0" w:space="0" w:color="auto" w:frame="1"/>
        </w:rPr>
        <w:t xml:space="preserve">(trừ cán bộ, công chức, viên chức, người thuộc lực lượng vũ trang nhân dân, người lao động trong các cơ quan của Đảng, Nhà nước, cơ quan hành chính, đơn vị sự nghiệp công lập được hưởng lương từ ngân sách nhà nước). Người sử dụng </w:t>
      </w:r>
      <w:proofErr w:type="gramStart"/>
      <w:r w:rsidRPr="00BB62CA">
        <w:rPr>
          <w:sz w:val="28"/>
          <w:szCs w:val="28"/>
          <w:bdr w:val="none" w:sz="0" w:space="0" w:color="auto" w:frame="1"/>
        </w:rPr>
        <w:t>lao</w:t>
      </w:r>
      <w:proofErr w:type="gramEnd"/>
      <w:r w:rsidRPr="00BB62CA">
        <w:rPr>
          <w:sz w:val="28"/>
          <w:szCs w:val="28"/>
          <w:bdr w:val="none" w:sz="0" w:space="0" w:color="auto" w:frame="1"/>
        </w:rPr>
        <w:t xml:space="preserve"> động hỗ trợ toàn bộ số tiền có được từ việc giảm đóng Quỹ Bảo hiểm tai nạn lao động, bệnh nghề nghiệp cho người lao động phòng chống đại dịch COVID-19.</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Thứ hai. Chính sách tạm dừng đóng vào quỹ hưu trí và tử tuất:</w:t>
      </w:r>
      <w:r w:rsidRPr="00BB62CA">
        <w:rPr>
          <w:sz w:val="28"/>
          <w:szCs w:val="28"/>
          <w:bdr w:val="none" w:sz="0" w:space="0" w:color="auto" w:frame="1"/>
        </w:rPr>
        <w:t> Người sử dụng lao động đã đóng đủ bảo hiểm xã hội hoặc đang tạm dừng đóng vào Quỹ hưu trí và tử tuất đến hết tháng 4 năm 2021 mà bị ảnh hưởng bởi đại dịch COVID-19 dẫn đến phải giảm từ 15% lao động tham gia bảo hiểm xã hội trở lên so với thời điểm tháng 4 năm 2021 (kể cả lao động ngừng việc, tạm hoãn thực hiện hợp đồng lao động, thỏa thuận nghỉ không hưởng lương) thì người lao động và người sử dụng lao động được tạm dừng đóng vào quỹ hưu trí và tử tuất 06 tháng kể từ thời điểm nộp hồ sơ đề nghị. Đối với trường hợp đã được giải quyết tạm dừng đóng theo </w:t>
      </w:r>
      <w:r w:rsidRPr="00BB62CA">
        <w:rPr>
          <w:sz w:val="28"/>
          <w:szCs w:val="28"/>
          <w:bdr w:val="none" w:sz="0" w:space="0" w:color="auto" w:frame="1"/>
          <w:shd w:val="clear" w:color="auto" w:fill="FFFFFF"/>
        </w:rPr>
        <w:t>Nghị quyết số </w:t>
      </w:r>
      <w:hyperlink r:id="rId5" w:tgtFrame="_blank" w:tooltip="Nghị quyết 42/NQ-CP" w:history="1">
        <w:r w:rsidRPr="00BB62CA">
          <w:rPr>
            <w:rStyle w:val="Hyperlink"/>
            <w:color w:val="auto"/>
            <w:sz w:val="28"/>
            <w:szCs w:val="28"/>
            <w:u w:val="none"/>
            <w:bdr w:val="none" w:sz="0" w:space="0" w:color="auto" w:frame="1"/>
          </w:rPr>
          <w:t>42/NQ-CP</w:t>
        </w:r>
      </w:hyperlink>
      <w:r w:rsidRPr="00BB62CA">
        <w:rPr>
          <w:sz w:val="28"/>
          <w:szCs w:val="28"/>
          <w:bdr w:val="none" w:sz="0" w:space="0" w:color="auto" w:frame="1"/>
          <w:shd w:val="clear" w:color="auto" w:fill="FFFFFF"/>
        </w:rPr>
        <w:t> ngày 09  tháng 4 năm 2020 và Nghị quyết số </w:t>
      </w:r>
      <w:hyperlink r:id="rId6" w:tgtFrame="_blank" w:tooltip="Nghị quyết 154/NQ-CP" w:history="1">
        <w:r w:rsidRPr="00BB62CA">
          <w:rPr>
            <w:rStyle w:val="Hyperlink"/>
            <w:color w:val="auto"/>
            <w:sz w:val="28"/>
            <w:szCs w:val="28"/>
            <w:u w:val="none"/>
            <w:bdr w:val="none" w:sz="0" w:space="0" w:color="auto" w:frame="1"/>
          </w:rPr>
          <w:t>154/NQ-CP</w:t>
        </w:r>
      </w:hyperlink>
      <w:r w:rsidRPr="00BB62CA">
        <w:rPr>
          <w:sz w:val="28"/>
          <w:szCs w:val="28"/>
          <w:bdr w:val="none" w:sz="0" w:space="0" w:color="auto" w:frame="1"/>
          <w:shd w:val="clear" w:color="auto" w:fill="FFFFFF"/>
        </w:rPr>
        <w:t> ngày 19 tháng 10 năm 2020</w:t>
      </w:r>
      <w:r w:rsidRPr="00BB62CA">
        <w:rPr>
          <w:sz w:val="28"/>
          <w:szCs w:val="28"/>
          <w:bdr w:val="none" w:sz="0" w:space="0" w:color="auto" w:frame="1"/>
        </w:rPr>
        <w:t> của Chính phủ, nếu đủ điều kiện thì vẫn được giải quyết nhưng </w:t>
      </w:r>
      <w:r w:rsidRPr="00BB62CA">
        <w:rPr>
          <w:sz w:val="28"/>
          <w:szCs w:val="28"/>
          <w:bdr w:val="none" w:sz="0" w:space="0" w:color="auto" w:frame="1"/>
          <w:shd w:val="clear" w:color="auto" w:fill="FFFFFF"/>
        </w:rPr>
        <w:t>tổng thời gian tạm dừng đóng không quá 12 tháng</w:t>
      </w:r>
      <w:r w:rsidRPr="00BB62CA">
        <w:rPr>
          <w:sz w:val="28"/>
          <w:szCs w:val="28"/>
          <w:bdr w:val="none" w:sz="0" w:space="0" w:color="auto" w:frame="1"/>
        </w:rPr>
        <w:t>.</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Thứ ba. Chính sách hỗ trợ đào tạo duy trì việc làm cho người lao động: </w:t>
      </w:r>
      <w:r w:rsidRPr="00BB62CA">
        <w:rPr>
          <w:sz w:val="28"/>
          <w:szCs w:val="28"/>
          <w:bdr w:val="none" w:sz="0" w:space="0" w:color="auto" w:frame="1"/>
        </w:rPr>
        <w:t xml:space="preserve">Người sử dụng lao động được hỗ trợ kinh phí đào tạo, bồi dưỡng, nâng cao trình độ kỹ năng </w:t>
      </w:r>
      <w:r w:rsidRPr="00BB62CA">
        <w:rPr>
          <w:sz w:val="28"/>
          <w:szCs w:val="28"/>
          <w:bdr w:val="none" w:sz="0" w:space="0" w:color="auto" w:frame="1"/>
        </w:rPr>
        <w:lastRenderedPageBreak/>
        <w:t>nghề từ Quỹ bảo hiểm thất nghiệp khi đ</w:t>
      </w:r>
      <w:r w:rsidRPr="00BB62CA">
        <w:rPr>
          <w:sz w:val="28"/>
          <w:szCs w:val="28"/>
          <w:bdr w:val="none" w:sz="0" w:space="0" w:color="auto" w:frame="1"/>
          <w:shd w:val="clear" w:color="auto" w:fill="FFFFFF"/>
        </w:rPr>
        <w:t>óng đủ bảo hiểm thất nghiệp cho người lao động từ đủ 12 tháng trở lên tính đến thời điểm đề nghị hỗ trợ; </w:t>
      </w:r>
      <w:r w:rsidRPr="00BB62CA">
        <w:rPr>
          <w:sz w:val="28"/>
          <w:szCs w:val="28"/>
          <w:bdr w:val="none" w:sz="0" w:space="0" w:color="auto" w:frame="1"/>
        </w:rPr>
        <w:t>thay đổi cơ cấu công nghệ theo quy định tại khoản 1 Điều 42 Bộ luật Lao động; có doanh thu của quý liền kề trước thời điểm đề nghị hỗ trợ giảm từ 10% trở lên so với cùng kỳ năm 2019 hoặc năm 2020; có phương án hoặc phối hợp</w:t>
      </w:r>
      <w:r w:rsidRPr="00BB62CA">
        <w:rPr>
          <w:rStyle w:val="Emphasis"/>
          <w:b/>
          <w:bCs/>
          <w:sz w:val="28"/>
          <w:szCs w:val="28"/>
          <w:bdr w:val="none" w:sz="0" w:space="0" w:color="auto" w:frame="1"/>
        </w:rPr>
        <w:t> </w:t>
      </w:r>
      <w:r w:rsidRPr="00BB62CA">
        <w:rPr>
          <w:sz w:val="28"/>
          <w:szCs w:val="28"/>
          <w:bdr w:val="none" w:sz="0" w:space="0" w:color="auto" w:frame="1"/>
        </w:rPr>
        <w:t>với cơ sở giáo dục nghề nghiệp có phương án đào tạo, bồi dưỡng, nâng cao trình độ kỹ năng nghề để duy trì việc làm cho người lao động theo quy định.</w:t>
      </w:r>
      <w:r w:rsidRPr="00BB62CA">
        <w:rPr>
          <w:rStyle w:val="Strong"/>
          <w:sz w:val="28"/>
          <w:szCs w:val="28"/>
          <w:bdr w:val="none" w:sz="0" w:space="0" w:color="auto" w:frame="1"/>
          <w:shd w:val="clear" w:color="auto" w:fill="FFFFFF"/>
        </w:rPr>
        <w:t> </w:t>
      </w:r>
      <w:r w:rsidRPr="00BB62CA">
        <w:rPr>
          <w:sz w:val="28"/>
          <w:szCs w:val="28"/>
          <w:bdr w:val="none" w:sz="0" w:space="0" w:color="auto" w:frame="1"/>
          <w:shd w:val="clear" w:color="auto" w:fill="FFFFFF"/>
        </w:rPr>
        <w:t xml:space="preserve">Mức hỗ trợ tối đa là 1.500.000 đồng/người </w:t>
      </w:r>
      <w:proofErr w:type="gramStart"/>
      <w:r w:rsidRPr="00BB62CA">
        <w:rPr>
          <w:sz w:val="28"/>
          <w:szCs w:val="28"/>
          <w:bdr w:val="none" w:sz="0" w:space="0" w:color="auto" w:frame="1"/>
          <w:shd w:val="clear" w:color="auto" w:fill="FFFFFF"/>
        </w:rPr>
        <w:t>lao</w:t>
      </w:r>
      <w:proofErr w:type="gramEnd"/>
      <w:r w:rsidRPr="00BB62CA">
        <w:rPr>
          <w:sz w:val="28"/>
          <w:szCs w:val="28"/>
          <w:bdr w:val="none" w:sz="0" w:space="0" w:color="auto" w:frame="1"/>
          <w:shd w:val="clear" w:color="auto" w:fill="FFFFFF"/>
        </w:rPr>
        <w:t xml:space="preserve"> động/tháng và thời gian hỗ trợ tối đa 06 tháng</w:t>
      </w:r>
      <w:r w:rsidRPr="00BB62CA">
        <w:rPr>
          <w:sz w:val="28"/>
          <w:szCs w:val="28"/>
          <w:bdr w:val="none" w:sz="0" w:space="0" w:color="auto" w:frame="1"/>
        </w:rPr>
        <w:t>. Hồ sơ đề nghị hỗ trợ được nộp trong thời gian từ ngày 01 tháng 7 năm 2021 đến hết ngày 30 tháng 6 năm 2022.</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xml:space="preserve">- Thứ </w:t>
      </w:r>
      <w:proofErr w:type="gramStart"/>
      <w:r w:rsidRPr="00BB62CA">
        <w:rPr>
          <w:rStyle w:val="Emphasis"/>
          <w:sz w:val="28"/>
          <w:szCs w:val="28"/>
          <w:bdr w:val="none" w:sz="0" w:space="0" w:color="auto" w:frame="1"/>
        </w:rPr>
        <w:t>tư</w:t>
      </w:r>
      <w:proofErr w:type="gramEnd"/>
      <w:r w:rsidRPr="00BB62CA">
        <w:rPr>
          <w:rStyle w:val="Emphasis"/>
          <w:sz w:val="28"/>
          <w:szCs w:val="28"/>
          <w:bdr w:val="none" w:sz="0" w:space="0" w:color="auto" w:frame="1"/>
        </w:rPr>
        <w:t>. Chính sách hỗ trợ người lao động tạm hoãn hợp đồng lao động, nghỉ việc không hưởng lương:</w:t>
      </w:r>
      <w:r w:rsidRPr="00BB62CA">
        <w:rPr>
          <w:sz w:val="28"/>
          <w:szCs w:val="28"/>
          <w:bdr w:val="none" w:sz="0" w:space="0" w:color="auto" w:frame="1"/>
        </w:rPr>
        <w:t> Người lao động làm việc tại doanh nghiệp, hợp tác xã, đơn vị sự nghiệp công lập tự đảm bảo chi thường xuyên hoặc chi đầu tư và chi thường xuyên,</w:t>
      </w:r>
      <w:r w:rsidRPr="00BB62CA">
        <w:rPr>
          <w:sz w:val="28"/>
          <w:szCs w:val="28"/>
          <w:bdr w:val="none" w:sz="0" w:space="0" w:color="auto" w:frame="1"/>
          <w:shd w:val="clear" w:color="auto" w:fill="FFFFFF"/>
        </w:rPr>
        <w:t> </w:t>
      </w:r>
      <w:r w:rsidRPr="00BB62CA">
        <w:rPr>
          <w:sz w:val="28"/>
          <w:szCs w:val="28"/>
          <w:bdr w:val="none" w:sz="0" w:space="0" w:color="auto" w:frame="1"/>
        </w:rPr>
        <w:t>cơ sở giáo dục dân lập, tư thục ở cấp giáo dục mầm non, mẫu giáo, tiểu học, trung học cơ sở, trung học phổ thông, giáo dục nghề nghiệp bị tạm dừng hoạt động theo yêu cầu của cơ quan nhà nước có thẩm quyền để phòng, chống dịch COVID-19 có thời gian tạm hoãn thực hiện hợp đồng lao động, nghỉ việc không hưởng lương trong thời hạn của hợp đồng lao động từ 15 ngày liên tục trở lên, tính từ ngày 01 tháng 5 năm 2021 đến hết ngày 31 tháng 12 năm 2021 và thời điểm bắt đầu tạm hoãn thực hiện hợp đồng lao động, nghỉ việc không hưởng lương từ ngày 01 tháng 5 năm 2021 đến hết ngày 31 tháng 12 năm 2021; đang tham gia bảo hiểm xã hội bắt buộc tính đến thời điểm ngay trước khi tạm hoãn thực hiện hợp đồng lao động, nghỉ việc không hưởng lương được hỗ trợ một lần như sau: Từ 15 ngày liên tục trở lên đến dưới 01 tháng mức 1.855.000 đồng/người; từ 01 tháng trở lên mức 3.710.000 đồng/người.</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Thứ năm. Chính sách hỗ trợ người lao động ngừng việc:</w:t>
      </w:r>
      <w:r w:rsidRPr="00BB62CA">
        <w:rPr>
          <w:sz w:val="28"/>
          <w:szCs w:val="28"/>
          <w:bdr w:val="none" w:sz="0" w:space="0" w:color="auto" w:frame="1"/>
        </w:rPr>
        <w:t> Người lao động làm việc theo chế độ hợp đồng lao động bị ngừng việc theo khoản 3 Điều 99 Bộ luật Lao động và thuộc đối tượng phải cách ly y tế hoặc trong các khu vực bị phong tỏa theo yêu cầu của cơ quan nhà nước có thẩm quyền từ 14 ngày trở lên trong thời gian từ ngày 01 tháng 5 năm 2021 đến hết ngày 31 tháng 12 năm 2021; đang tham gia bảo hiểm xã hội bắt buộc tính đến thời điểm ngay trước khi ngừng việc được hỗ trợ một lần 1.000.000 đồng/người.</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Thứ sáu. Chính sách hỗ trợ người lao động chấm dứt hợp đồng lao động:</w:t>
      </w:r>
      <w:r w:rsidRPr="00BB62CA">
        <w:rPr>
          <w:sz w:val="28"/>
          <w:szCs w:val="28"/>
          <w:bdr w:val="none" w:sz="0" w:space="0" w:color="auto" w:frame="1"/>
        </w:rPr>
        <w:t> Người lao động làm việc tại doanh nghiệp, hợp tác xã, đơn vị sự nghiệp công lập tự đảm bảo chi thường xuyên hoặc chi đầu tư và chi thường xuyên,</w:t>
      </w:r>
      <w:r w:rsidRPr="00BB62CA">
        <w:rPr>
          <w:sz w:val="28"/>
          <w:szCs w:val="28"/>
          <w:bdr w:val="none" w:sz="0" w:space="0" w:color="auto" w:frame="1"/>
          <w:shd w:val="clear" w:color="auto" w:fill="FFFFFF"/>
        </w:rPr>
        <w:t> </w:t>
      </w:r>
      <w:r w:rsidRPr="00BB62CA">
        <w:rPr>
          <w:sz w:val="28"/>
          <w:szCs w:val="28"/>
          <w:bdr w:val="none" w:sz="0" w:space="0" w:color="auto" w:frame="1"/>
        </w:rPr>
        <w:t>cơ sở giáo dục dân lập, tư thục ở cấp giáo dục mầm non, mẫu giáo, tiểu học, trung học cơ sở, trung học phổ thông, giáo dục nghề nghiệp chấm dứt hợp đồng lao động do phải dừng hoạt động theo yêu cầu của cơ quan nhà nước có thẩm quyền để phòng, chống dịch COVID-19 trong thời gian từ ngày 01 tháng 5 năm 2021 đến hết ngày 31 tháng 12 năm 2021; đang tham gia bảo hiểm xã hội bắt buộc nhưng không đủ điều kiện hưởng trợ cấp thất nghiệp được hỗ trợ một lần 3.710.000 đồng/người.</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shd w:val="clear" w:color="auto" w:fill="FFFFFF"/>
        </w:rPr>
        <w:t>- Thứ bảy. Chính sách hỗ trợ bổ sung và trẻ em:</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sz w:val="28"/>
          <w:szCs w:val="28"/>
        </w:rPr>
        <w:t xml:space="preserve">Người </w:t>
      </w:r>
      <w:proofErr w:type="gramStart"/>
      <w:r w:rsidRPr="00BB62CA">
        <w:rPr>
          <w:sz w:val="28"/>
          <w:szCs w:val="28"/>
        </w:rPr>
        <w:t>lao</w:t>
      </w:r>
      <w:proofErr w:type="gramEnd"/>
      <w:r w:rsidRPr="00BB62CA">
        <w:rPr>
          <w:sz w:val="28"/>
          <w:szCs w:val="28"/>
        </w:rPr>
        <w:t xml:space="preserve"> động tại điểm 4, 5, 6 Mục II đang mang thai được hỗ trợ thêm 1.000.000 đồng/người; đang nuôi con hoặc chăm sóc thay thế trẻ em chưa đủ 06 tuổi </w:t>
      </w:r>
      <w:r w:rsidRPr="00BB62CA">
        <w:rPr>
          <w:sz w:val="28"/>
          <w:szCs w:val="28"/>
        </w:rPr>
        <w:lastRenderedPageBreak/>
        <w:t>được hỗ trợ thêm 1.000.000 đồng/trẻ em chưa đủ 06 tuổi và chỉ hỗ trợ cho 01 người là mẹ hoặc cha.</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sz w:val="28"/>
          <w:szCs w:val="28"/>
        </w:rPr>
        <w:t>Trẻ em phải điều trị do nhiễm COVID-19 hoặc cách ly y tế theo quyết định của cơ quan nhà nước có thẩm quyền được ngân sách nhà nước đảm bảo các chi phí điều trị và tiền ăn theo quy định tại điểm 8 Mục II Nghị quyết này; được ngân sách nhà nước hỗ trợ thêm 1.000.000 đồng/trẻ em trong thời gian điều trị, cách ly từ ngày 27 tháng 4 năm 2021 đến hết ngày 31 tháng 12 năm 2021.</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Thứ tám. Hỗ trợ tiền ăn</w:t>
      </w:r>
      <w:r w:rsidRPr="00BB62CA">
        <w:rPr>
          <w:sz w:val="28"/>
          <w:szCs w:val="28"/>
        </w:rPr>
        <w:t> mức 80.000 đồng/người/ngày đối với người phải điều trị nhiễm COVID-19 (F0), từ ngày 27 tháng 4 năm 2021 đến ngày 31 tháng 12 năm 2021, thời gian hỗ trợ theo thời gian điều trị thực tế nhưng tối đa 45 ngày.</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sz w:val="28"/>
          <w:szCs w:val="28"/>
        </w:rPr>
        <w:t>Hỗ trợ tiền ăn mức 80.000 đồng/người/ngày đối với người phải thực hiện cách ly y tế (F1) theo quyết định của cơ quan nhà nước có thẩm quyền, từ ngày 27 tháng 4 năm 2021 đến ngày 31 tháng 12 năm 2021, thời gian hỗ trợ tối đa 21 ngày.</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Thứ chín. Hỗ trợ một lần 3.710.000 đồng/người đối với đạo diễn nghệ thuật, diễn viên, họa sĩ giữ chức danh nghề nghiệp hạng IV</w:t>
      </w:r>
      <w:r w:rsidRPr="00BB62CA">
        <w:rPr>
          <w:sz w:val="28"/>
          <w:szCs w:val="28"/>
        </w:rPr>
        <w:t> trong các đơn vị sự nghiệp công lập hoạt động nghệ thuật biểu diễn (không bao gồm các đơn vị nghệ thuật lực lượng vũ trang) phải dừng hoạt động từ 15 ngày trở lên để phòng, chống dịch COVID-19 trong thời gian từ ngày 01 tháng 5 năm 2021 đến hết ngày 31 tháng 12 năm 2021.</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sz w:val="28"/>
          <w:szCs w:val="28"/>
        </w:rPr>
        <w:t>Hỗ trợ một lần 3.710.000 đồng/người đối với hướng dẫn viên du lịch được cấp thẻ hành nghề hướng dẫn du lịch bị ảnh hưởng của đại dịch COVID-19 trong thời gian từ ngày 01 tháng 5 năm 2021 đến hết ngày 31 tháng 12 năm 2021.</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 Thứ mười. Chính sách hỗ trợ hộ kinh doanh</w:t>
      </w:r>
      <w:proofErr w:type="gramStart"/>
      <w:r w:rsidRPr="00BB62CA">
        <w:rPr>
          <w:rStyle w:val="Emphasis"/>
          <w:sz w:val="28"/>
          <w:szCs w:val="28"/>
          <w:bdr w:val="none" w:sz="0" w:space="0" w:color="auto" w:frame="1"/>
        </w:rPr>
        <w:t>:</w:t>
      </w:r>
      <w:r w:rsidRPr="00BB62CA">
        <w:rPr>
          <w:sz w:val="28"/>
          <w:szCs w:val="28"/>
        </w:rPr>
        <w:t>Hộ</w:t>
      </w:r>
      <w:proofErr w:type="gramEnd"/>
      <w:r w:rsidRPr="00BB62CA">
        <w:rPr>
          <w:sz w:val="28"/>
          <w:szCs w:val="28"/>
        </w:rPr>
        <w:t xml:space="preserve"> kinh doanh có đăng ký kinh doanh, có đăng ký thuế và phải dừng hoạt động từ 15 ngày liên tục trở lên trong thời gian từ ngày 01 tháng 5 năm 2021 đến ngày 31 tháng 12 năm 2021 theo yêu cầu của cơ quan nhà nước có thẩm quyền để phòng, chống dịch COVID-19 được ngân sách nhà nước hỗ trợ một lần 3.000.000 đồng/hộ.</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-Thứ mười một. Chính sách cho vay trả lương ngừng việc, trả lương phục hồi sản xuất:</w:t>
      </w:r>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sz w:val="28"/>
          <w:szCs w:val="28"/>
        </w:rPr>
        <w:t xml:space="preserve">Cho vay trả lương ngừng việc: Người sử dụng lao động được vay vốn tại Ngân hàng Chính sách xã hội với lãi suất 0% và không phải thực hiện biện pháp bảo đảm tiền vay để trả lương ngừng việc đối với người lao động đang tham gia bảo hiểm xã hội bắt buộc phải ngừng việc từ 15 ngày liên tục trở lên theo quy định khoản 3 Điều 99 Bộ luật Lao động, trong thời gian từ ngày 01 tháng 5 năm 2021 đến hết ngày 31 tháng 3 năm 2022. Người sử dụng </w:t>
      </w:r>
      <w:proofErr w:type="gramStart"/>
      <w:r w:rsidRPr="00BB62CA">
        <w:rPr>
          <w:sz w:val="28"/>
          <w:szCs w:val="28"/>
        </w:rPr>
        <w:t>lao</w:t>
      </w:r>
      <w:proofErr w:type="gramEnd"/>
      <w:r w:rsidRPr="00BB62CA">
        <w:rPr>
          <w:sz w:val="28"/>
          <w:szCs w:val="28"/>
        </w:rPr>
        <w:t xml:space="preserve"> động không có nợ xấu tại tổ chức tín dụng và chi nhánh ngân hàng nước ngoài tại thời điểm đề nghị vay vốn. Mức cho vay tối đa bằng mức lương tối thiểu vùng đối với số người </w:t>
      </w:r>
      <w:proofErr w:type="gramStart"/>
      <w:r w:rsidRPr="00BB62CA">
        <w:rPr>
          <w:sz w:val="28"/>
          <w:szCs w:val="28"/>
        </w:rPr>
        <w:t>lao</w:t>
      </w:r>
      <w:proofErr w:type="gramEnd"/>
      <w:r w:rsidRPr="00BB62CA">
        <w:rPr>
          <w:sz w:val="28"/>
          <w:szCs w:val="28"/>
        </w:rPr>
        <w:t xml:space="preserve"> động theo thời gian trả lương ngừng việc thực tế tối đa 03 tháng. </w:t>
      </w:r>
      <w:proofErr w:type="gramStart"/>
      <w:r w:rsidRPr="00BB62CA">
        <w:rPr>
          <w:sz w:val="28"/>
          <w:szCs w:val="28"/>
        </w:rPr>
        <w:t>Thời hạn vay vốn dưới 12 tháng.</w:t>
      </w:r>
      <w:proofErr w:type="gramEnd"/>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sz w:val="28"/>
          <w:szCs w:val="28"/>
        </w:rPr>
        <w:t xml:space="preserve">Cho vay trả lương phục hồi sản xuất: Người sử dụng lao động phải tạm dừng hoạt động do yêu cầu của cơ quan nhà nước có thẩm quyền để phòng, chống dịch COVID-19 trong thời gian từ ngày 01 tháng 5 năm 2021 đến hết ngày 31 tháng 3 năm 2022 khi quay trở lại sản xuất kinh doanh và người sử dụng lao động hoạt động trong </w:t>
      </w:r>
      <w:r w:rsidRPr="00BB62CA">
        <w:rPr>
          <w:sz w:val="28"/>
          <w:szCs w:val="28"/>
        </w:rPr>
        <w:lastRenderedPageBreak/>
        <w:t xml:space="preserve">lĩnh vực vận tải, hàng không, du lịch, dịch vụ lưu trú và đưa người lao động Việt Nam đi làm việc ở nước ngoài theo hợp đồng trong thời gian từ ngày 01 tháng 5 năm 2021 đến hết ngày 31 tháng 3 năm 2022 được vay vốn tại Ngân hàng Chính sách xã hội với lãi suất 0% và không phải thực hiện biện pháp bảo đảm tiền vay để trả lương cho người lao động làm việc theo hợp đồng lao động và đang tham gia bảo hiểm xã hội bắt buộc. Người sử dụng </w:t>
      </w:r>
      <w:proofErr w:type="gramStart"/>
      <w:r w:rsidRPr="00BB62CA">
        <w:rPr>
          <w:sz w:val="28"/>
          <w:szCs w:val="28"/>
        </w:rPr>
        <w:t>lao</w:t>
      </w:r>
      <w:proofErr w:type="gramEnd"/>
      <w:r w:rsidRPr="00BB62CA">
        <w:rPr>
          <w:sz w:val="28"/>
          <w:szCs w:val="28"/>
        </w:rPr>
        <w:t xml:space="preserve"> động không có nợ xấu tại tổ chức tín dụng và chi nhánh ngân hàng nước ngoài tại thời điểm đề nghị vay vốn. Mức cho vay tối đa bằng mức lương tối thiểu vùng đối với số người </w:t>
      </w:r>
      <w:proofErr w:type="gramStart"/>
      <w:r w:rsidRPr="00BB62CA">
        <w:rPr>
          <w:sz w:val="28"/>
          <w:szCs w:val="28"/>
        </w:rPr>
        <w:t>lao</w:t>
      </w:r>
      <w:proofErr w:type="gramEnd"/>
      <w:r w:rsidRPr="00BB62CA">
        <w:rPr>
          <w:sz w:val="28"/>
          <w:szCs w:val="28"/>
        </w:rPr>
        <w:t xml:space="preserve"> động đang làm việc theo hợp đồng lao động theo thời gian trả lương thực tế tối đa 03 tháng. </w:t>
      </w:r>
      <w:proofErr w:type="gramStart"/>
      <w:r w:rsidRPr="00BB62CA">
        <w:rPr>
          <w:sz w:val="28"/>
          <w:szCs w:val="28"/>
        </w:rPr>
        <w:t>Thời hạn vay vốn dưới 12 tháng.</w:t>
      </w:r>
      <w:proofErr w:type="gramEnd"/>
    </w:p>
    <w:p w:rsidR="006D6551" w:rsidRPr="00BB62CA" w:rsidRDefault="006D6551" w:rsidP="006D6551">
      <w:pPr>
        <w:pStyle w:val="NormalWeb"/>
        <w:shd w:val="clear" w:color="auto" w:fill="FFFFFF"/>
        <w:spacing w:before="120" w:beforeAutospacing="0" w:after="0" w:afterAutospacing="0"/>
        <w:ind w:firstLine="720"/>
        <w:jc w:val="both"/>
        <w:textAlignment w:val="baseline"/>
        <w:rPr>
          <w:sz w:val="28"/>
          <w:szCs w:val="28"/>
        </w:rPr>
      </w:pPr>
      <w:r w:rsidRPr="00BB62CA">
        <w:rPr>
          <w:rStyle w:val="Emphasis"/>
          <w:sz w:val="28"/>
          <w:szCs w:val="28"/>
          <w:bdr w:val="none" w:sz="0" w:space="0" w:color="auto" w:frame="1"/>
        </w:rPr>
        <w:t>-Thứ mười hai. Đối với lao động không có giao kết hợp đồng lao động (lao động tự do) và một số đối tượng đặc thù khác: </w:t>
      </w:r>
      <w:r w:rsidRPr="00BB62CA">
        <w:rPr>
          <w:sz w:val="28"/>
          <w:szCs w:val="28"/>
          <w:bdr w:val="none" w:sz="0" w:space="0" w:color="auto" w:frame="1"/>
        </w:rPr>
        <w:t>Căn cứ điều kiện cụ thể và khả năng ngân sách của địa phương, các tỉnh, thành phố xây dựng tiêu chí, xác định đối tượng, mức tiền hỗ trợ nhưng mức hỗ trợ không thấp hơn 1.500.000 đồng/người/lần hoặc 50.000 đồng/người/ngày căn cứ theo thực tế số ngày tạm dừng hoạt động theo yêu cầu của địa phương.</w:t>
      </w:r>
    </w:p>
    <w:p w:rsidR="00030E34" w:rsidRPr="00BB62CA" w:rsidRDefault="00E82D70">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p>
    <w:p w:rsidR="00BB62CA" w:rsidRPr="00BB62CA" w:rsidRDefault="00BB62CA">
      <w:pPr>
        <w:rPr>
          <w:rFonts w:ascii="Times New Roman" w:hAnsi="Times New Roman" w:cs="Times New Roman"/>
          <w:sz w:val="28"/>
          <w:szCs w:val="28"/>
        </w:rPr>
      </w:pPr>
      <w:bookmarkStart w:id="0" w:name="_GoBack"/>
      <w:bookmarkEnd w:id="0"/>
    </w:p>
    <w:sectPr w:rsidR="00BB62CA" w:rsidRPr="00BB62CA" w:rsidSect="006D6551">
      <w:pgSz w:w="12240" w:h="15840"/>
      <w:pgMar w:top="1080" w:right="99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51"/>
    <w:rsid w:val="00206711"/>
    <w:rsid w:val="004265C6"/>
    <w:rsid w:val="00693D84"/>
    <w:rsid w:val="006D6551"/>
    <w:rsid w:val="008053BD"/>
    <w:rsid w:val="00B011CE"/>
    <w:rsid w:val="00BB62CA"/>
    <w:rsid w:val="00E8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6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6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6D655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debs">
    <w:name w:val="sum-debs"/>
    <w:basedOn w:val="Normal"/>
    <w:rsid w:val="006D65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65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551"/>
    <w:rPr>
      <w:i/>
      <w:iCs/>
    </w:rPr>
  </w:style>
  <w:style w:type="character" w:styleId="Hyperlink">
    <w:name w:val="Hyperlink"/>
    <w:basedOn w:val="DefaultParagraphFont"/>
    <w:uiPriority w:val="99"/>
    <w:semiHidden/>
    <w:unhideWhenUsed/>
    <w:rsid w:val="006D6551"/>
    <w:rPr>
      <w:color w:val="0000FF"/>
      <w:u w:val="single"/>
    </w:rPr>
  </w:style>
  <w:style w:type="character" w:styleId="Strong">
    <w:name w:val="Strong"/>
    <w:basedOn w:val="DefaultParagraphFont"/>
    <w:uiPriority w:val="22"/>
    <w:qFormat/>
    <w:rsid w:val="006D6551"/>
    <w:rPr>
      <w:b/>
      <w:bCs/>
    </w:rPr>
  </w:style>
  <w:style w:type="character" w:customStyle="1" w:styleId="Heading5Char">
    <w:name w:val="Heading 5 Char"/>
    <w:basedOn w:val="DefaultParagraphFont"/>
    <w:link w:val="Heading5"/>
    <w:uiPriority w:val="9"/>
    <w:rsid w:val="006D655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BB62C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B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CA"/>
    <w:rPr>
      <w:rFonts w:ascii="Tahoma" w:hAnsi="Tahoma" w:cs="Tahoma"/>
      <w:sz w:val="16"/>
      <w:szCs w:val="16"/>
    </w:rPr>
  </w:style>
  <w:style w:type="character" w:customStyle="1" w:styleId="Heading1Char">
    <w:name w:val="Heading 1 Char"/>
    <w:basedOn w:val="DefaultParagraphFont"/>
    <w:link w:val="Heading1"/>
    <w:uiPriority w:val="9"/>
    <w:rsid w:val="00BB62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6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6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6D655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m-debs">
    <w:name w:val="sum-debs"/>
    <w:basedOn w:val="Normal"/>
    <w:rsid w:val="006D655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65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6551"/>
    <w:rPr>
      <w:i/>
      <w:iCs/>
    </w:rPr>
  </w:style>
  <w:style w:type="character" w:styleId="Hyperlink">
    <w:name w:val="Hyperlink"/>
    <w:basedOn w:val="DefaultParagraphFont"/>
    <w:uiPriority w:val="99"/>
    <w:semiHidden/>
    <w:unhideWhenUsed/>
    <w:rsid w:val="006D6551"/>
    <w:rPr>
      <w:color w:val="0000FF"/>
      <w:u w:val="single"/>
    </w:rPr>
  </w:style>
  <w:style w:type="character" w:styleId="Strong">
    <w:name w:val="Strong"/>
    <w:basedOn w:val="DefaultParagraphFont"/>
    <w:uiPriority w:val="22"/>
    <w:qFormat/>
    <w:rsid w:val="006D6551"/>
    <w:rPr>
      <w:b/>
      <w:bCs/>
    </w:rPr>
  </w:style>
  <w:style w:type="character" w:customStyle="1" w:styleId="Heading5Char">
    <w:name w:val="Heading 5 Char"/>
    <w:basedOn w:val="DefaultParagraphFont"/>
    <w:link w:val="Heading5"/>
    <w:uiPriority w:val="9"/>
    <w:rsid w:val="006D6551"/>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BB62C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B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CA"/>
    <w:rPr>
      <w:rFonts w:ascii="Tahoma" w:hAnsi="Tahoma" w:cs="Tahoma"/>
      <w:sz w:val="16"/>
      <w:szCs w:val="16"/>
    </w:rPr>
  </w:style>
  <w:style w:type="character" w:customStyle="1" w:styleId="Heading1Char">
    <w:name w:val="Heading 1 Char"/>
    <w:basedOn w:val="DefaultParagraphFont"/>
    <w:link w:val="Heading1"/>
    <w:uiPriority w:val="9"/>
    <w:rsid w:val="00BB62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253085">
      <w:bodyDiv w:val="1"/>
      <w:marLeft w:val="0"/>
      <w:marRight w:val="0"/>
      <w:marTop w:val="0"/>
      <w:marBottom w:val="0"/>
      <w:divBdr>
        <w:top w:val="none" w:sz="0" w:space="0" w:color="auto"/>
        <w:left w:val="none" w:sz="0" w:space="0" w:color="auto"/>
        <w:bottom w:val="none" w:sz="0" w:space="0" w:color="auto"/>
        <w:right w:val="none" w:sz="0" w:space="0" w:color="auto"/>
      </w:divBdr>
    </w:div>
    <w:div w:id="1827436415">
      <w:bodyDiv w:val="1"/>
      <w:marLeft w:val="0"/>
      <w:marRight w:val="0"/>
      <w:marTop w:val="0"/>
      <w:marBottom w:val="0"/>
      <w:divBdr>
        <w:top w:val="none" w:sz="0" w:space="0" w:color="auto"/>
        <w:left w:val="none" w:sz="0" w:space="0" w:color="auto"/>
        <w:bottom w:val="none" w:sz="0" w:space="0" w:color="auto"/>
        <w:right w:val="none" w:sz="0" w:space="0" w:color="auto"/>
      </w:divBdr>
      <w:divsChild>
        <w:div w:id="1445885539">
          <w:marLeft w:val="0"/>
          <w:marRight w:val="0"/>
          <w:marTop w:val="0"/>
          <w:marBottom w:val="0"/>
          <w:divBdr>
            <w:top w:val="none" w:sz="0" w:space="0" w:color="auto"/>
            <w:left w:val="none" w:sz="0" w:space="0" w:color="auto"/>
            <w:bottom w:val="none" w:sz="0" w:space="0" w:color="auto"/>
            <w:right w:val="none" w:sz="0" w:space="0" w:color="auto"/>
          </w:divBdr>
        </w:div>
      </w:divsChild>
    </w:div>
    <w:div w:id="1918713053">
      <w:bodyDiv w:val="1"/>
      <w:marLeft w:val="0"/>
      <w:marRight w:val="0"/>
      <w:marTop w:val="0"/>
      <w:marBottom w:val="0"/>
      <w:divBdr>
        <w:top w:val="none" w:sz="0" w:space="0" w:color="auto"/>
        <w:left w:val="none" w:sz="0" w:space="0" w:color="auto"/>
        <w:bottom w:val="none" w:sz="0" w:space="0" w:color="auto"/>
        <w:right w:val="none" w:sz="0" w:space="0" w:color="auto"/>
      </w:divBdr>
    </w:div>
    <w:div w:id="210626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e-thao-y-te/nghi-quyet-154-nq-cp-2020-sua-doi-nghi-quyet-42-nq-cp-ho-tro-nguoi-dan-gap-kho-khan-do-covid-19-455702.aspx" TargetMode="External"/><Relationship Id="rId11" Type="http://schemas.openxmlformats.org/officeDocument/2006/relationships/customXml" Target="../customXml/item3.xml"/><Relationship Id="rId5" Type="http://schemas.openxmlformats.org/officeDocument/2006/relationships/hyperlink" Target="https://thuvienphapluat.vn/van-ban/lao-dong-tien-luong/nghi-quyet-42-nq-cp-2020-bien-phap-ho-tro-nguoi-dan-gap-kho-khan-do-covid-19-439526.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B4840-FCE9-4FE6-85BD-754A706BD4CB}"/>
</file>

<file path=customXml/itemProps2.xml><?xml version="1.0" encoding="utf-8"?>
<ds:datastoreItem xmlns:ds="http://schemas.openxmlformats.org/officeDocument/2006/customXml" ds:itemID="{0E9D93AB-583F-4122-AFAE-38AD918C7688}"/>
</file>

<file path=customXml/itemProps3.xml><?xml version="1.0" encoding="utf-8"?>
<ds:datastoreItem xmlns:ds="http://schemas.openxmlformats.org/officeDocument/2006/customXml" ds:itemID="{02546169-8373-43A9-B851-BE71AB08E28A}"/>
</file>

<file path=docProps/app.xml><?xml version="1.0" encoding="utf-8"?>
<Properties xmlns="http://schemas.openxmlformats.org/officeDocument/2006/extended-properties" xmlns:vt="http://schemas.openxmlformats.org/officeDocument/2006/docPropsVTypes">
  <Template>Normal</Template>
  <TotalTime>3</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4</cp:revision>
  <cp:lastPrinted>2022-11-08T03:17:00Z</cp:lastPrinted>
  <dcterms:created xsi:type="dcterms:W3CDTF">2022-11-08T03:09:00Z</dcterms:created>
  <dcterms:modified xsi:type="dcterms:W3CDTF">2022-11-08T03:19:00Z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62100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